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76B" w:rsidRPr="00383576" w:rsidRDefault="0091476B" w:rsidP="0030152A">
      <w:pPr>
        <w:spacing w:after="0" w:line="288" w:lineRule="auto"/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3576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26519039" wp14:editId="22169934">
            <wp:simplePos x="0" y="0"/>
            <wp:positionH relativeFrom="column">
              <wp:posOffset>36830</wp:posOffset>
            </wp:positionH>
            <wp:positionV relativeFrom="paragraph">
              <wp:posOffset>0</wp:posOffset>
            </wp:positionV>
            <wp:extent cx="786765" cy="760095"/>
            <wp:effectExtent l="0" t="0" r="0" b="1905"/>
            <wp:wrapTight wrapText="bothSides">
              <wp:wrapPolygon edited="0">
                <wp:start x="0" y="0"/>
                <wp:lineTo x="0" y="21113"/>
                <wp:lineTo x="20920" y="21113"/>
                <wp:lineTo x="209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576">
        <w:rPr>
          <w:rFonts w:ascii="Times New Roman" w:hAnsi="Times New Roman" w:cs="Times New Roman"/>
          <w:b/>
          <w:sz w:val="36"/>
          <w:szCs w:val="36"/>
        </w:rPr>
        <w:t>OIL &amp; GAS DEVELOPMENT COMPANY LTD.</w:t>
      </w:r>
    </w:p>
    <w:p w:rsidR="0091476B" w:rsidRPr="00383576" w:rsidRDefault="0091476B" w:rsidP="0030152A">
      <w:pPr>
        <w:spacing w:after="0" w:line="288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3576">
        <w:rPr>
          <w:rFonts w:ascii="Times New Roman" w:hAnsi="Times New Roman" w:cs="Times New Roman"/>
          <w:b/>
          <w:sz w:val="24"/>
        </w:rPr>
        <w:t xml:space="preserve">SINJHORO GAS </w:t>
      </w:r>
      <w:r w:rsidR="00542E10">
        <w:rPr>
          <w:rFonts w:ascii="Times New Roman" w:hAnsi="Times New Roman" w:cs="Times New Roman"/>
          <w:b/>
          <w:sz w:val="24"/>
        </w:rPr>
        <w:t>PLANT</w:t>
      </w:r>
      <w:r w:rsidR="000F3D3C">
        <w:rPr>
          <w:rFonts w:ascii="Times New Roman" w:hAnsi="Times New Roman" w:cs="Times New Roman"/>
          <w:b/>
          <w:sz w:val="24"/>
        </w:rPr>
        <w:t>, DISTRICT</w:t>
      </w:r>
      <w:r w:rsidRPr="00383576">
        <w:rPr>
          <w:rFonts w:ascii="Times New Roman" w:hAnsi="Times New Roman" w:cs="Times New Roman"/>
          <w:b/>
          <w:sz w:val="24"/>
        </w:rPr>
        <w:t xml:space="preserve"> SANGHAR</w:t>
      </w:r>
    </w:p>
    <w:p w:rsidR="0091476B" w:rsidRPr="00383576" w:rsidRDefault="0091476B" w:rsidP="0030152A">
      <w:pPr>
        <w:spacing w:after="0" w:line="288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383576">
        <w:rPr>
          <w:rFonts w:ascii="Times New Roman" w:hAnsi="Times New Roman" w:cs="Times New Roman"/>
          <w:b/>
          <w:szCs w:val="20"/>
          <w:u w:val="single"/>
        </w:rPr>
        <w:t>Phone: 0235-808200, Fax: 0235-566283, 0235-808293</w:t>
      </w:r>
    </w:p>
    <w:p w:rsidR="007C304A" w:rsidRPr="00383576" w:rsidRDefault="007C304A" w:rsidP="0030152A">
      <w:pPr>
        <w:tabs>
          <w:tab w:val="left" w:pos="270"/>
          <w:tab w:val="left" w:pos="900"/>
        </w:tabs>
        <w:spacing w:after="0" w:line="288" w:lineRule="auto"/>
        <w:ind w:left="1260" w:right="27" w:hanging="1260"/>
        <w:jc w:val="both"/>
        <w:rPr>
          <w:rFonts w:ascii="Times New Roman" w:hAnsi="Times New Roman" w:cs="Times New Roman"/>
          <w:sz w:val="24"/>
          <w:szCs w:val="24"/>
        </w:rPr>
      </w:pPr>
    </w:p>
    <w:p w:rsidR="0091476B" w:rsidRPr="00383576" w:rsidRDefault="0091476B" w:rsidP="003927DC">
      <w:pPr>
        <w:pStyle w:val="Default"/>
        <w:tabs>
          <w:tab w:val="left" w:pos="990"/>
        </w:tabs>
        <w:spacing w:line="288" w:lineRule="auto"/>
        <w:rPr>
          <w:b/>
          <w:u w:val="single"/>
        </w:rPr>
      </w:pPr>
      <w:r w:rsidRPr="00A53BEA">
        <w:t>No</w:t>
      </w:r>
      <w:r w:rsidR="000F3D3C">
        <w:t>.</w:t>
      </w:r>
      <w:r w:rsidRPr="00383576">
        <w:rPr>
          <w:b/>
        </w:rPr>
        <w:t xml:space="preserve">  </w:t>
      </w:r>
      <w:r w:rsidR="00A53BEA">
        <w:rPr>
          <w:b/>
        </w:rPr>
        <w:tab/>
      </w:r>
      <w:r w:rsidR="00B85F48" w:rsidRPr="00B85F48">
        <w:rPr>
          <w:b/>
          <w:u w:val="single"/>
        </w:rPr>
        <w:t>TE/SGF/ATA/2018-19/MECH/0</w:t>
      </w:r>
      <w:r w:rsidR="00B85F48" w:rsidRPr="00B85F48">
        <w:rPr>
          <w:b/>
          <w:u w:val="single"/>
        </w:rPr>
        <w:t>10</w:t>
      </w:r>
      <w:r w:rsidR="00A53BEA">
        <w:rPr>
          <w:b/>
        </w:rPr>
        <w:tab/>
      </w:r>
      <w:r w:rsidR="00A53BEA">
        <w:rPr>
          <w:b/>
        </w:rPr>
        <w:tab/>
      </w:r>
      <w:r w:rsidR="00A53BEA">
        <w:rPr>
          <w:b/>
        </w:rPr>
        <w:tab/>
      </w:r>
      <w:r w:rsidR="00A53BEA">
        <w:rPr>
          <w:b/>
        </w:rPr>
        <w:tab/>
      </w:r>
      <w:r w:rsidR="00A53BEA">
        <w:rPr>
          <w:b/>
        </w:rPr>
        <w:tab/>
      </w:r>
      <w:r w:rsidRPr="00A53BEA">
        <w:t>Dated:</w:t>
      </w:r>
      <w:r w:rsidRPr="00383576">
        <w:rPr>
          <w:b/>
        </w:rPr>
        <w:t xml:space="preserve">  </w:t>
      </w:r>
      <w:r w:rsidR="00B85F48">
        <w:rPr>
          <w:b/>
          <w:color w:val="auto"/>
          <w:u w:val="single"/>
        </w:rPr>
        <w:t>23-11</w:t>
      </w:r>
      <w:r w:rsidR="000F3D3C" w:rsidRPr="000F3D3C">
        <w:rPr>
          <w:b/>
          <w:color w:val="auto"/>
          <w:u w:val="single"/>
        </w:rPr>
        <w:t>-2018</w:t>
      </w:r>
      <w:r w:rsidRPr="000F3D3C">
        <w:rPr>
          <w:b/>
          <w:color w:val="auto"/>
          <w:u w:val="single"/>
        </w:rPr>
        <w:t xml:space="preserve"> </w:t>
      </w:r>
    </w:p>
    <w:p w:rsidR="00A53BEA" w:rsidRDefault="00A53BEA" w:rsidP="0030152A">
      <w:pPr>
        <w:pStyle w:val="Default"/>
        <w:tabs>
          <w:tab w:val="left" w:pos="990"/>
        </w:tabs>
        <w:spacing w:line="288" w:lineRule="auto"/>
        <w:rPr>
          <w:rFonts w:eastAsia="Times New Roman"/>
        </w:rPr>
      </w:pPr>
    </w:p>
    <w:p w:rsidR="0030152A" w:rsidRPr="00E26E21" w:rsidRDefault="00AB38AE" w:rsidP="0030152A">
      <w:pPr>
        <w:pStyle w:val="Default"/>
        <w:tabs>
          <w:tab w:val="left" w:pos="990"/>
        </w:tabs>
        <w:spacing w:line="288" w:lineRule="auto"/>
        <w:rPr>
          <w:b/>
          <w:u w:val="single"/>
        </w:rPr>
      </w:pPr>
      <w:r w:rsidRPr="00383576">
        <w:rPr>
          <w:rFonts w:eastAsia="Times New Roman"/>
        </w:rPr>
        <w:t>Su</w:t>
      </w:r>
      <w:r w:rsidR="00F327D9" w:rsidRPr="00383576">
        <w:rPr>
          <w:rFonts w:eastAsia="Times New Roman"/>
        </w:rPr>
        <w:t>bject:</w:t>
      </w:r>
      <w:r w:rsidR="00F327D9" w:rsidRPr="00383576">
        <w:rPr>
          <w:rFonts w:eastAsia="Times New Roman"/>
        </w:rPr>
        <w:tab/>
      </w:r>
      <w:r w:rsidR="00F83229" w:rsidRPr="00383576">
        <w:rPr>
          <w:b/>
          <w:bCs/>
          <w:u w:val="single"/>
        </w:rPr>
        <w:t xml:space="preserve">Request for </w:t>
      </w:r>
      <w:r w:rsidR="003C3690" w:rsidRPr="00383576">
        <w:rPr>
          <w:b/>
          <w:bCs/>
          <w:u w:val="single"/>
        </w:rPr>
        <w:t xml:space="preserve">Web Posting of </w:t>
      </w:r>
      <w:r w:rsidR="00F83229" w:rsidRPr="00383576">
        <w:rPr>
          <w:b/>
          <w:bCs/>
          <w:u w:val="single"/>
        </w:rPr>
        <w:t>Tender</w:t>
      </w:r>
      <w:r w:rsidR="003C3690" w:rsidRPr="00383576">
        <w:rPr>
          <w:b/>
          <w:bCs/>
          <w:u w:val="single"/>
        </w:rPr>
        <w:t xml:space="preserve"> No. </w:t>
      </w:r>
      <w:r w:rsidR="00B85F48" w:rsidRPr="00B85F48">
        <w:rPr>
          <w:b/>
          <w:color w:val="auto"/>
          <w:u w:val="single"/>
        </w:rPr>
        <w:t>TE/SGF/ATA/2018-19/MECH/010</w:t>
      </w:r>
    </w:p>
    <w:p w:rsidR="00F83229" w:rsidRPr="00383576" w:rsidRDefault="00F83229" w:rsidP="0030152A">
      <w:pPr>
        <w:pStyle w:val="Default"/>
        <w:tabs>
          <w:tab w:val="left" w:pos="990"/>
        </w:tabs>
        <w:spacing w:line="288" w:lineRule="auto"/>
        <w:rPr>
          <w:bCs/>
        </w:rPr>
      </w:pPr>
      <w:r w:rsidRPr="00383576">
        <w:rPr>
          <w:b/>
          <w:bCs/>
          <w:u w:val="single"/>
        </w:rPr>
        <w:t xml:space="preserve"> </w:t>
      </w:r>
    </w:p>
    <w:p w:rsidR="00E7725C" w:rsidRPr="00383576" w:rsidRDefault="004A2E14" w:rsidP="0030152A">
      <w:pPr>
        <w:pStyle w:val="ListParagraph"/>
        <w:numPr>
          <w:ilvl w:val="0"/>
          <w:numId w:val="15"/>
        </w:numPr>
        <w:tabs>
          <w:tab w:val="left" w:pos="270"/>
        </w:tabs>
        <w:spacing w:after="0" w:line="288" w:lineRule="auto"/>
        <w:ind w:left="270" w:right="27" w:hanging="27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Annual Turnaround of gas processing 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>plant is extremely important for</w:t>
      </w:r>
      <w:r w:rsidR="00262C6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trouble-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>free operations throughout the year.</w:t>
      </w:r>
      <w:r w:rsidR="004F3EF5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In this regard, activities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as per the details given in the SOR (Annexure-A),</w:t>
      </w:r>
      <w:r w:rsidR="00E7725C" w:rsidRPr="00383576">
        <w:rPr>
          <w:rFonts w:ascii="Times New Roman" w:eastAsia="Times New Roman" w:hAnsi="Times New Roman" w:cs="Times New Roman"/>
          <w:sz w:val="24"/>
          <w:szCs w:val="24"/>
        </w:rPr>
        <w:t xml:space="preserve"> are required to be carried out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in the upcoming ATA of Sinjhoro Gas Plant</w:t>
      </w:r>
      <w:r w:rsidR="00242944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, 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>that has been scheduled from the 1</w:t>
      </w:r>
      <w:r w:rsidR="00542E10">
        <w:rPr>
          <w:rFonts w:ascii="Times New Roman" w:eastAsiaTheme="minorHAnsi" w:hAnsi="Times New Roman" w:cs="Times New Roman"/>
          <w:color w:val="000000"/>
          <w:sz w:val="24"/>
          <w:szCs w:val="24"/>
        </w:rPr>
        <w:t>5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th of </w:t>
      </w:r>
      <w:r w:rsidR="00542E10">
        <w:rPr>
          <w:rFonts w:ascii="Times New Roman" w:eastAsiaTheme="minorHAnsi" w:hAnsi="Times New Roman" w:cs="Times New Roman"/>
          <w:color w:val="000000"/>
          <w:sz w:val="24"/>
          <w:szCs w:val="24"/>
        </w:rPr>
        <w:t>April 2019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to </w:t>
      </w:r>
      <w:r w:rsidR="00542E10">
        <w:rPr>
          <w:rFonts w:ascii="Times New Roman" w:eastAsiaTheme="minorHAnsi" w:hAnsi="Times New Roman" w:cs="Times New Roman"/>
          <w:color w:val="000000"/>
          <w:sz w:val="24"/>
          <w:szCs w:val="24"/>
        </w:rPr>
        <w:t>30</w:t>
      </w:r>
      <w:r w:rsidR="00542E10" w:rsidRPr="00542E10">
        <w:rPr>
          <w:rFonts w:ascii="Times New Roman" w:eastAsiaTheme="minorHAnsi" w:hAnsi="Times New Roman" w:cs="Times New Roman"/>
          <w:color w:val="000000"/>
          <w:sz w:val="24"/>
          <w:szCs w:val="24"/>
          <w:vertAlign w:val="superscript"/>
        </w:rPr>
        <w:t>th</w:t>
      </w:r>
      <w:r w:rsidR="00542E10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of </w:t>
      </w:r>
      <w:r w:rsidR="00542E10">
        <w:rPr>
          <w:rFonts w:ascii="Times New Roman" w:eastAsiaTheme="minorHAnsi" w:hAnsi="Times New Roman" w:cs="Times New Roman"/>
          <w:color w:val="000000"/>
          <w:sz w:val="24"/>
          <w:szCs w:val="24"/>
        </w:rPr>
        <w:t>April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201</w:t>
      </w:r>
      <w:r w:rsidR="00542E10">
        <w:rPr>
          <w:rFonts w:ascii="Times New Roman" w:eastAsiaTheme="minorHAnsi" w:hAnsi="Times New Roman" w:cs="Times New Roman"/>
          <w:color w:val="000000"/>
          <w:sz w:val="24"/>
          <w:szCs w:val="24"/>
        </w:rPr>
        <w:t>9 tentatively</w:t>
      </w:r>
      <w:r w:rsidR="00E7725C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. </w:t>
      </w:r>
    </w:p>
    <w:p w:rsidR="004F3EF5" w:rsidRPr="00383576" w:rsidRDefault="004F3EF5" w:rsidP="0030152A">
      <w:pPr>
        <w:pStyle w:val="ListParagraph"/>
        <w:tabs>
          <w:tab w:val="left" w:pos="270"/>
        </w:tabs>
        <w:spacing w:after="0" w:line="288" w:lineRule="auto"/>
        <w:ind w:left="270" w:right="2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4F3EF5" w:rsidRPr="00383576" w:rsidRDefault="004F3EF5" w:rsidP="0030152A">
      <w:pPr>
        <w:pStyle w:val="ListParagraph"/>
        <w:numPr>
          <w:ilvl w:val="0"/>
          <w:numId w:val="15"/>
        </w:numPr>
        <w:tabs>
          <w:tab w:val="left" w:pos="270"/>
        </w:tabs>
        <w:spacing w:after="0" w:line="288" w:lineRule="auto"/>
        <w:ind w:left="270" w:right="27" w:hanging="27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Further, </w:t>
      </w:r>
      <w:r w:rsidR="00542E10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in order </w:t>
      </w:r>
      <w:r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to ensure quality </w:t>
      </w:r>
      <w:r w:rsidR="00542E10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and reliability </w:t>
      </w:r>
      <w:r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according to industrial standards and to carry out the ATA activities in the stipulated time period, services of </w:t>
      </w:r>
      <w:r w:rsidR="00AC19AE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experienced </w:t>
      </w:r>
      <w:r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>outsourc</w:t>
      </w:r>
      <w:r w:rsidR="00AC19AE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ed companies </w:t>
      </w:r>
      <w:r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>in this work capacity are to be hired</w:t>
      </w:r>
      <w:r w:rsidR="00E97C60" w:rsidRPr="00383576">
        <w:rPr>
          <w:rFonts w:ascii="Times New Roman" w:eastAsiaTheme="minorHAnsi" w:hAnsi="Times New Roman" w:cs="Times New Roman"/>
          <w:color w:val="000000"/>
          <w:sz w:val="24"/>
          <w:szCs w:val="24"/>
        </w:rPr>
        <w:t>.</w:t>
      </w:r>
    </w:p>
    <w:p w:rsidR="004F3EF5" w:rsidRPr="00383576" w:rsidRDefault="004F3EF5" w:rsidP="0030152A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1A3B1F" w:rsidRPr="003B3B9C" w:rsidRDefault="00234359" w:rsidP="003B3B9C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B3B9C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="004F3EF5" w:rsidRPr="003B3B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690" w:rsidRPr="003B3B9C">
        <w:rPr>
          <w:rFonts w:ascii="Times New Roman" w:eastAsia="Times New Roman" w:hAnsi="Times New Roman" w:cs="Times New Roman"/>
          <w:sz w:val="24"/>
          <w:szCs w:val="24"/>
        </w:rPr>
        <w:t>subject tender t</w:t>
      </w:r>
      <w:r w:rsidR="00861B55" w:rsidRPr="003B3B9C">
        <w:rPr>
          <w:rFonts w:ascii="Times New Roman" w:eastAsia="Times New Roman" w:hAnsi="Times New Roman" w:cs="Times New Roman"/>
          <w:sz w:val="24"/>
          <w:szCs w:val="24"/>
        </w:rPr>
        <w:t>itled</w:t>
      </w:r>
      <w:r w:rsidR="00F83229" w:rsidRPr="003B3B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3229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>“</w:t>
      </w:r>
      <w:r w:rsidR="0091476B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Services for Annual Turnaround (Mechanical) for </w:t>
      </w:r>
      <w:r w:rsidR="00386ACF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>Filters, Membrane</w:t>
      </w:r>
      <w:r w:rsidR="00E26E21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86ACF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&amp; </w:t>
      </w:r>
      <w:r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>Miscellaneous Jobs</w:t>
      </w:r>
      <w:r w:rsidR="00E26E21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91476B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at </w:t>
      </w:r>
      <w:r w:rsidR="00007036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>Sinjhoro</w:t>
      </w:r>
      <w:r w:rsidR="0091476B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Gas Plant</w:t>
      </w:r>
      <w:r w:rsidR="00F83229" w:rsidRPr="003B3B9C">
        <w:rPr>
          <w:rFonts w:ascii="Times New Roman" w:eastAsia="Times New Roman" w:hAnsi="Times New Roman" w:cs="Times New Roman"/>
          <w:sz w:val="24"/>
          <w:szCs w:val="24"/>
          <w:u w:val="single"/>
        </w:rPr>
        <w:t>”</w:t>
      </w:r>
      <w:r w:rsidR="00262C6C" w:rsidRPr="003B3B9C">
        <w:rPr>
          <w:rFonts w:ascii="Times New Roman" w:eastAsia="Times New Roman" w:hAnsi="Times New Roman" w:cs="Times New Roman"/>
          <w:sz w:val="24"/>
          <w:szCs w:val="24"/>
        </w:rPr>
        <w:t>,</w:t>
      </w:r>
      <w:r w:rsidR="004A2E14" w:rsidRPr="003B3B9C">
        <w:rPr>
          <w:rFonts w:ascii="Times New Roman" w:eastAsia="Times New Roman" w:hAnsi="Times New Roman" w:cs="Times New Roman"/>
          <w:sz w:val="24"/>
          <w:szCs w:val="24"/>
        </w:rPr>
        <w:t xml:space="preserve"> has </w:t>
      </w:r>
      <w:r w:rsidR="00D67DB6" w:rsidRPr="003B3B9C">
        <w:rPr>
          <w:rFonts w:ascii="Times New Roman" w:eastAsia="Times New Roman" w:hAnsi="Times New Roman" w:cs="Times New Roman"/>
          <w:sz w:val="24"/>
          <w:szCs w:val="24"/>
        </w:rPr>
        <w:t>to be issued and processed as per the following schedule:</w:t>
      </w:r>
    </w:p>
    <w:p w:rsidR="0030152A" w:rsidRPr="0030152A" w:rsidRDefault="0030152A" w:rsidP="0030152A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30"/>
        <w:gridCol w:w="2525"/>
        <w:gridCol w:w="1615"/>
        <w:gridCol w:w="1800"/>
        <w:gridCol w:w="1710"/>
      </w:tblGrid>
      <w:tr w:rsidR="001C2289" w:rsidRPr="00383576" w:rsidTr="00B85F48">
        <w:trPr>
          <w:trHeight w:val="719"/>
        </w:trPr>
        <w:tc>
          <w:tcPr>
            <w:tcW w:w="720" w:type="dxa"/>
            <w:shd w:val="clear" w:color="auto" w:fill="auto"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835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Sr. #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835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Tender Enquiry No.</w:t>
            </w:r>
          </w:p>
        </w:tc>
        <w:tc>
          <w:tcPr>
            <w:tcW w:w="2525" w:type="dxa"/>
            <w:shd w:val="clear" w:color="auto" w:fill="auto"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835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615" w:type="dxa"/>
            <w:shd w:val="clear" w:color="auto" w:fill="auto"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835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Tender Sale Closing Date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835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Bids Submission Date &amp; Time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835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Bids Opening Date &amp; Time</w:t>
            </w:r>
          </w:p>
        </w:tc>
      </w:tr>
      <w:tr w:rsidR="001C2289" w:rsidRPr="00383576" w:rsidTr="00B85F48">
        <w:trPr>
          <w:trHeight w:val="71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357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  <w:hideMark/>
          </w:tcPr>
          <w:p w:rsidR="001C2289" w:rsidRPr="00383576" w:rsidRDefault="00B85F48" w:rsidP="0030152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AE28EA">
              <w:rPr>
                <w:rFonts w:ascii="Times New Roman" w:hAnsi="Times New Roman" w:cs="Times New Roman"/>
              </w:rPr>
              <w:t>TE/SGF/ATA/2018-19/MECH/0</w:t>
            </w:r>
            <w:r>
              <w:t>10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:rsidR="001C2289" w:rsidRPr="00383576" w:rsidRDefault="001C2289" w:rsidP="00E26E21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</w:rPr>
            </w:pPr>
            <w:r w:rsidRPr="00383576">
              <w:rPr>
                <w:rFonts w:ascii="Times New Roman" w:eastAsia="Times New Roman" w:hAnsi="Times New Roman" w:cs="Times New Roman"/>
              </w:rPr>
              <w:t xml:space="preserve">Services for Annual Turnaround (Mechanical) for </w:t>
            </w:r>
            <w:r w:rsidR="001D0F55">
              <w:rPr>
                <w:rFonts w:ascii="Times New Roman" w:eastAsia="Times New Roman" w:hAnsi="Times New Roman" w:cs="Times New Roman"/>
              </w:rPr>
              <w:t>Filters,</w:t>
            </w:r>
            <w:r w:rsidR="00E26E21" w:rsidRPr="00E26E21">
              <w:rPr>
                <w:rFonts w:ascii="Times New Roman" w:eastAsia="Times New Roman" w:hAnsi="Times New Roman" w:cs="Times New Roman"/>
              </w:rPr>
              <w:t xml:space="preserve"> Membrane </w:t>
            </w:r>
            <w:r w:rsidR="001D0F55">
              <w:rPr>
                <w:rFonts w:ascii="Times New Roman" w:eastAsia="Times New Roman" w:hAnsi="Times New Roman" w:cs="Times New Roman"/>
              </w:rPr>
              <w:t>&amp; Miscellan</w:t>
            </w:r>
            <w:bookmarkStart w:id="0" w:name="_GoBack"/>
            <w:bookmarkEnd w:id="0"/>
            <w:r w:rsidR="001D0F55">
              <w:rPr>
                <w:rFonts w:ascii="Times New Roman" w:eastAsia="Times New Roman" w:hAnsi="Times New Roman" w:cs="Times New Roman"/>
              </w:rPr>
              <w:t xml:space="preserve">eous </w:t>
            </w:r>
            <w:r w:rsidR="00E26E21" w:rsidRPr="00E26E21">
              <w:rPr>
                <w:rFonts w:ascii="Times New Roman" w:eastAsia="Times New Roman" w:hAnsi="Times New Roman" w:cs="Times New Roman"/>
              </w:rPr>
              <w:t xml:space="preserve">Jobs </w:t>
            </w:r>
            <w:r w:rsidRPr="00383576">
              <w:rPr>
                <w:rFonts w:ascii="Times New Roman" w:eastAsia="Times New Roman" w:hAnsi="Times New Roman" w:cs="Times New Roman"/>
              </w:rPr>
              <w:t xml:space="preserve">at </w:t>
            </w:r>
            <w:r w:rsidR="004F634B">
              <w:rPr>
                <w:rFonts w:ascii="Times New Roman" w:eastAsia="Times New Roman" w:hAnsi="Times New Roman" w:cs="Times New Roman"/>
              </w:rPr>
              <w:t xml:space="preserve">Sinjhoro </w:t>
            </w:r>
            <w:r w:rsidRPr="00383576">
              <w:rPr>
                <w:rFonts w:ascii="Times New Roman" w:eastAsia="Times New Roman" w:hAnsi="Times New Roman" w:cs="Times New Roman"/>
              </w:rPr>
              <w:t>Gas Plant</w:t>
            </w:r>
          </w:p>
        </w:tc>
        <w:tc>
          <w:tcPr>
            <w:tcW w:w="1615" w:type="dxa"/>
            <w:vMerge w:val="restart"/>
            <w:shd w:val="clear" w:color="auto" w:fill="auto"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1C2289" w:rsidRPr="00542E10" w:rsidRDefault="00B85F48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15-12-2018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1C2289" w:rsidRPr="00542E10" w:rsidRDefault="00B85F48" w:rsidP="0030152A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15-12</w:t>
            </w:r>
            <w:r w:rsidR="00E0403F">
              <w:rPr>
                <w:rFonts w:ascii="Times New Roman" w:eastAsia="Times New Roman" w:hAnsi="Times New Roman" w:cs="Times New Roman"/>
              </w:rPr>
              <w:t>-2018</w:t>
            </w:r>
          </w:p>
        </w:tc>
      </w:tr>
      <w:tr w:rsidR="001C2289" w:rsidRPr="00383576" w:rsidTr="00B85F48">
        <w:trPr>
          <w:trHeight w:val="656"/>
        </w:trPr>
        <w:tc>
          <w:tcPr>
            <w:tcW w:w="720" w:type="dxa"/>
            <w:vMerge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15" w:type="dxa"/>
            <w:vMerge/>
            <w:vAlign w:val="center"/>
            <w:hideMark/>
          </w:tcPr>
          <w:p w:rsidR="001C2289" w:rsidRPr="00383576" w:rsidRDefault="001C2289" w:rsidP="0030152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1C2289" w:rsidRPr="00542E10" w:rsidRDefault="002D2591" w:rsidP="00130FEB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1030 </w:t>
            </w:r>
            <w:r w:rsidR="00234359">
              <w:rPr>
                <w:rFonts w:ascii="Times New Roman" w:eastAsia="Times New Roman" w:hAnsi="Times New Roman" w:cs="Times New Roman"/>
              </w:rPr>
              <w:t>hrs.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1C2289" w:rsidRPr="00542E10" w:rsidRDefault="002D2591" w:rsidP="002D259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1100 </w:t>
            </w:r>
            <w:r w:rsidR="00234359">
              <w:rPr>
                <w:rFonts w:ascii="Times New Roman" w:eastAsia="Times New Roman" w:hAnsi="Times New Roman" w:cs="Times New Roman"/>
              </w:rPr>
              <w:t>hrs.</w:t>
            </w:r>
          </w:p>
        </w:tc>
      </w:tr>
    </w:tbl>
    <w:p w:rsidR="001A3B1F" w:rsidRPr="00383576" w:rsidRDefault="001A3B1F" w:rsidP="0030152A">
      <w:pPr>
        <w:pStyle w:val="Default"/>
        <w:spacing w:line="288" w:lineRule="auto"/>
        <w:jc w:val="both"/>
        <w:rPr>
          <w:bCs/>
        </w:rPr>
      </w:pPr>
    </w:p>
    <w:p w:rsidR="0091476B" w:rsidRPr="0035373D" w:rsidRDefault="00AF1697" w:rsidP="0035373D">
      <w:pPr>
        <w:pStyle w:val="ListParagraph"/>
        <w:numPr>
          <w:ilvl w:val="0"/>
          <w:numId w:val="15"/>
        </w:numPr>
        <w:tabs>
          <w:tab w:val="left" w:pos="270"/>
        </w:tabs>
        <w:spacing w:after="0" w:line="288" w:lineRule="auto"/>
        <w:ind w:left="270" w:right="27" w:hanging="270"/>
        <w:jc w:val="both"/>
        <w:rPr>
          <w:rFonts w:ascii="Times New Roman" w:hAnsi="Times New Roman" w:cs="Times New Roman"/>
          <w:sz w:val="24"/>
          <w:szCs w:val="24"/>
        </w:rPr>
      </w:pPr>
      <w:r w:rsidRPr="00383576">
        <w:rPr>
          <w:rFonts w:ascii="Times New Roman" w:hAnsi="Times New Roman" w:cs="Times New Roman"/>
          <w:sz w:val="24"/>
          <w:szCs w:val="24"/>
        </w:rPr>
        <w:t>The estimated cost</w:t>
      </w:r>
      <w:r w:rsidR="00383576">
        <w:rPr>
          <w:rFonts w:ascii="Times New Roman" w:hAnsi="Times New Roman" w:cs="Times New Roman"/>
          <w:sz w:val="24"/>
          <w:szCs w:val="24"/>
        </w:rPr>
        <w:t xml:space="preserve"> of </w:t>
      </w:r>
      <w:r w:rsidR="00865B37">
        <w:rPr>
          <w:rFonts w:ascii="Times New Roman" w:hAnsi="Times New Roman" w:cs="Times New Roman"/>
          <w:sz w:val="24"/>
          <w:szCs w:val="24"/>
        </w:rPr>
        <w:t xml:space="preserve">above </w:t>
      </w:r>
      <w:r w:rsidR="00383576">
        <w:rPr>
          <w:rFonts w:ascii="Times New Roman" w:hAnsi="Times New Roman" w:cs="Times New Roman"/>
          <w:sz w:val="24"/>
          <w:szCs w:val="24"/>
        </w:rPr>
        <w:t>services</w:t>
      </w:r>
      <w:r w:rsidR="00865B37">
        <w:rPr>
          <w:rFonts w:ascii="Times New Roman" w:hAnsi="Times New Roman" w:cs="Times New Roman"/>
          <w:sz w:val="24"/>
          <w:szCs w:val="24"/>
        </w:rPr>
        <w:t xml:space="preserve"> is </w:t>
      </w:r>
      <w:r w:rsidRPr="00383576">
        <w:rPr>
          <w:rFonts w:ascii="Times New Roman" w:hAnsi="Times New Roman" w:cs="Times New Roman"/>
          <w:sz w:val="24"/>
          <w:szCs w:val="24"/>
        </w:rPr>
        <w:t xml:space="preserve">less than two </w:t>
      </w:r>
      <w:r w:rsidR="00383576" w:rsidRPr="00383576">
        <w:rPr>
          <w:rFonts w:ascii="Times New Roman" w:hAnsi="Times New Roman" w:cs="Times New Roman"/>
          <w:sz w:val="24"/>
          <w:szCs w:val="24"/>
        </w:rPr>
        <w:t>million</w:t>
      </w:r>
      <w:r w:rsidRPr="00383576">
        <w:rPr>
          <w:rFonts w:ascii="Times New Roman" w:hAnsi="Times New Roman" w:cs="Times New Roman"/>
          <w:sz w:val="24"/>
          <w:szCs w:val="24"/>
        </w:rPr>
        <w:t xml:space="preserve"> </w:t>
      </w:r>
      <w:r w:rsidR="00542E10">
        <w:rPr>
          <w:rFonts w:ascii="Times New Roman" w:hAnsi="Times New Roman" w:cs="Times New Roman"/>
          <w:sz w:val="24"/>
          <w:szCs w:val="24"/>
        </w:rPr>
        <w:t xml:space="preserve">rupees </w:t>
      </w:r>
      <w:r w:rsidRPr="00383576">
        <w:rPr>
          <w:rFonts w:ascii="Times New Roman" w:hAnsi="Times New Roman" w:cs="Times New Roman"/>
          <w:sz w:val="24"/>
          <w:szCs w:val="24"/>
        </w:rPr>
        <w:t xml:space="preserve">inclusive </w:t>
      </w:r>
      <w:r w:rsidR="00A53BEA">
        <w:rPr>
          <w:rFonts w:ascii="Times New Roman" w:hAnsi="Times New Roman" w:cs="Times New Roman"/>
          <w:sz w:val="24"/>
          <w:szCs w:val="24"/>
        </w:rPr>
        <w:t xml:space="preserve">of </w:t>
      </w:r>
      <w:r w:rsidRPr="00383576">
        <w:rPr>
          <w:rFonts w:ascii="Times New Roman" w:hAnsi="Times New Roman" w:cs="Times New Roman"/>
          <w:sz w:val="24"/>
          <w:szCs w:val="24"/>
        </w:rPr>
        <w:t xml:space="preserve">all </w:t>
      </w:r>
      <w:r w:rsidR="0035373D" w:rsidRPr="00383576">
        <w:rPr>
          <w:rFonts w:ascii="Times New Roman" w:hAnsi="Times New Roman" w:cs="Times New Roman"/>
          <w:sz w:val="24"/>
          <w:szCs w:val="24"/>
        </w:rPr>
        <w:t>taxes.</w:t>
      </w:r>
      <w:r w:rsidR="0035373D" w:rsidRPr="0035373D">
        <w:rPr>
          <w:rFonts w:ascii="Times New Roman" w:hAnsi="Times New Roman" w:cs="Times New Roman"/>
          <w:sz w:val="24"/>
          <w:szCs w:val="24"/>
        </w:rPr>
        <w:t xml:space="preserve"> The</w:t>
      </w:r>
      <w:r w:rsidRPr="0035373D">
        <w:rPr>
          <w:rFonts w:ascii="Times New Roman" w:hAnsi="Times New Roman" w:cs="Times New Roman"/>
          <w:sz w:val="24"/>
          <w:szCs w:val="24"/>
        </w:rPr>
        <w:t xml:space="preserve"> tender may please be </w:t>
      </w:r>
      <w:r w:rsidR="00383576" w:rsidRPr="0035373D">
        <w:rPr>
          <w:rFonts w:ascii="Times New Roman" w:hAnsi="Times New Roman" w:cs="Times New Roman"/>
          <w:sz w:val="24"/>
          <w:szCs w:val="24"/>
        </w:rPr>
        <w:t xml:space="preserve">forwarded for onward processing for </w:t>
      </w:r>
      <w:r w:rsidRPr="0035373D">
        <w:rPr>
          <w:rFonts w:ascii="Times New Roman" w:hAnsi="Times New Roman" w:cs="Times New Roman"/>
          <w:sz w:val="24"/>
          <w:szCs w:val="24"/>
        </w:rPr>
        <w:t xml:space="preserve">posting on the OGDCL website. </w:t>
      </w:r>
    </w:p>
    <w:p w:rsidR="00383576" w:rsidRDefault="00383576" w:rsidP="0030152A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30152A" w:rsidRDefault="0030152A" w:rsidP="0030152A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253507" w:rsidRPr="00383576" w:rsidRDefault="00253507" w:rsidP="0030152A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383576" w:rsidRPr="00383576" w:rsidRDefault="00BB3AAD" w:rsidP="0030152A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83576" w:rsidRPr="00BB3AAD" w:rsidRDefault="00383576" w:rsidP="00542E10">
      <w:pPr>
        <w:tabs>
          <w:tab w:val="left" w:pos="270"/>
        </w:tabs>
        <w:spacing w:after="0" w:line="288" w:lineRule="auto"/>
        <w:ind w:right="2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B3AAD" w:rsidRPr="00BB3AAD">
        <w:rPr>
          <w:rFonts w:ascii="Times New Roman" w:hAnsi="Times New Roman" w:cs="Times New Roman"/>
          <w:b/>
          <w:bCs/>
          <w:sz w:val="24"/>
          <w:szCs w:val="24"/>
        </w:rPr>
        <w:t>I/C</w:t>
      </w:r>
      <w:r w:rsidRPr="00BB3AAD">
        <w:rPr>
          <w:rFonts w:ascii="Times New Roman" w:hAnsi="Times New Roman" w:cs="Times New Roman"/>
          <w:b/>
          <w:bCs/>
          <w:sz w:val="24"/>
          <w:szCs w:val="24"/>
        </w:rPr>
        <w:t xml:space="preserve"> Mechanical - SGF </w:t>
      </w:r>
    </w:p>
    <w:p w:rsidR="00253507" w:rsidRPr="00383576" w:rsidRDefault="00253507" w:rsidP="0030152A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3576" w:rsidRPr="00383576" w:rsidRDefault="00383576" w:rsidP="00BB3AAD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3AAD">
        <w:rPr>
          <w:rFonts w:ascii="Times New Roman" w:hAnsi="Times New Roman" w:cs="Times New Roman"/>
          <w:b/>
          <w:bCs/>
          <w:sz w:val="24"/>
          <w:szCs w:val="24"/>
        </w:rPr>
        <w:t>Field Manager – SGF</w:t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57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</w:p>
    <w:p w:rsidR="00383576" w:rsidRPr="00383576" w:rsidRDefault="00383576" w:rsidP="0030152A">
      <w:pPr>
        <w:pStyle w:val="ListParagraph"/>
        <w:tabs>
          <w:tab w:val="left" w:pos="2415"/>
        </w:tabs>
        <w:spacing w:after="0" w:line="288" w:lineRule="auto"/>
        <w:ind w:left="99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83576" w:rsidRDefault="00383576" w:rsidP="0030152A">
      <w:pPr>
        <w:spacing w:after="0"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0152A" w:rsidRDefault="0030152A" w:rsidP="0030152A">
      <w:pPr>
        <w:spacing w:after="0"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D7C88" w:rsidRPr="0030152A" w:rsidRDefault="000D7C88" w:rsidP="0030152A">
      <w:pPr>
        <w:spacing w:after="0"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0152A" w:rsidRPr="00383576" w:rsidRDefault="00383576" w:rsidP="00253507">
      <w:pPr>
        <w:tabs>
          <w:tab w:val="left" w:pos="270"/>
        </w:tabs>
        <w:spacing w:after="0" w:line="288" w:lineRule="auto"/>
        <w:ind w:right="2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3AAD">
        <w:rPr>
          <w:rFonts w:ascii="Times New Roman" w:hAnsi="Times New Roman" w:cs="Times New Roman"/>
          <w:b/>
          <w:bCs/>
          <w:sz w:val="24"/>
          <w:szCs w:val="24"/>
        </w:rPr>
        <w:t>Manager P&amp;P, South–C, Iba</w:t>
      </w:r>
      <w:r w:rsidR="00027589" w:rsidRPr="00BB3A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30152A" w:rsidRPr="00383576" w:rsidSect="00B073E7">
      <w:pgSz w:w="11907" w:h="16839" w:code="9"/>
      <w:pgMar w:top="810" w:right="837" w:bottom="72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B734D"/>
    <w:multiLevelType w:val="hybridMultilevel"/>
    <w:tmpl w:val="CB2E5B52"/>
    <w:lvl w:ilvl="0" w:tplc="92903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96834"/>
    <w:multiLevelType w:val="hybridMultilevel"/>
    <w:tmpl w:val="88EE724E"/>
    <w:lvl w:ilvl="0" w:tplc="93661ED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E02E8F"/>
    <w:multiLevelType w:val="hybridMultilevel"/>
    <w:tmpl w:val="66EA85A2"/>
    <w:lvl w:ilvl="0" w:tplc="180E3088">
      <w:start w:val="1"/>
      <w:numFmt w:val="decimal"/>
      <w:lvlText w:val="%1."/>
      <w:lvlJc w:val="left"/>
      <w:pPr>
        <w:ind w:left="720" w:hanging="360"/>
      </w:pPr>
      <w:rPr>
        <w:rFonts w:ascii="Verdana" w:eastAsiaTheme="minorEastAsia" w:hAnsi="Verdana" w:cstheme="minorHAns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37010"/>
    <w:multiLevelType w:val="hybridMultilevel"/>
    <w:tmpl w:val="E83AA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1380"/>
    <w:multiLevelType w:val="hybridMultilevel"/>
    <w:tmpl w:val="9C064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D70BB"/>
    <w:multiLevelType w:val="hybridMultilevel"/>
    <w:tmpl w:val="B2BE9956"/>
    <w:lvl w:ilvl="0" w:tplc="FDE855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C67F6"/>
    <w:multiLevelType w:val="hybridMultilevel"/>
    <w:tmpl w:val="EB76ACB0"/>
    <w:lvl w:ilvl="0" w:tplc="C410129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C1FC1"/>
    <w:multiLevelType w:val="hybridMultilevel"/>
    <w:tmpl w:val="66EA85A2"/>
    <w:lvl w:ilvl="0" w:tplc="180E3088">
      <w:start w:val="1"/>
      <w:numFmt w:val="decimal"/>
      <w:lvlText w:val="%1."/>
      <w:lvlJc w:val="left"/>
      <w:pPr>
        <w:ind w:left="720" w:hanging="360"/>
      </w:pPr>
      <w:rPr>
        <w:rFonts w:ascii="Verdana" w:eastAsiaTheme="minorEastAsia" w:hAnsi="Verdana" w:cstheme="minorHAns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93A68"/>
    <w:multiLevelType w:val="hybridMultilevel"/>
    <w:tmpl w:val="66EA85A2"/>
    <w:lvl w:ilvl="0" w:tplc="180E3088">
      <w:start w:val="1"/>
      <w:numFmt w:val="decimal"/>
      <w:lvlText w:val="%1."/>
      <w:lvlJc w:val="left"/>
      <w:pPr>
        <w:ind w:left="720" w:hanging="360"/>
      </w:pPr>
      <w:rPr>
        <w:rFonts w:ascii="Verdana" w:eastAsiaTheme="minorEastAsia" w:hAnsi="Verdana" w:cstheme="minorHAns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A6EAF"/>
    <w:multiLevelType w:val="hybridMultilevel"/>
    <w:tmpl w:val="48A45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8417C"/>
    <w:multiLevelType w:val="hybridMultilevel"/>
    <w:tmpl w:val="48A45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D4151"/>
    <w:multiLevelType w:val="hybridMultilevel"/>
    <w:tmpl w:val="F5464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E5D1B"/>
    <w:multiLevelType w:val="hybridMultilevel"/>
    <w:tmpl w:val="48A45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BA0965"/>
    <w:multiLevelType w:val="hybridMultilevel"/>
    <w:tmpl w:val="1F44C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12"/>
  </w:num>
  <w:num w:numId="11">
    <w:abstractNumId w:val="10"/>
  </w:num>
  <w:num w:numId="12">
    <w:abstractNumId w:val="4"/>
  </w:num>
  <w:num w:numId="13">
    <w:abstractNumId w:val="13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87"/>
    <w:rsid w:val="00007036"/>
    <w:rsid w:val="00023092"/>
    <w:rsid w:val="00027589"/>
    <w:rsid w:val="0002769F"/>
    <w:rsid w:val="00030422"/>
    <w:rsid w:val="00044267"/>
    <w:rsid w:val="00047461"/>
    <w:rsid w:val="000523E3"/>
    <w:rsid w:val="00063A43"/>
    <w:rsid w:val="00070A14"/>
    <w:rsid w:val="000728AD"/>
    <w:rsid w:val="000837C8"/>
    <w:rsid w:val="00083FDC"/>
    <w:rsid w:val="000A126F"/>
    <w:rsid w:val="000A1840"/>
    <w:rsid w:val="000A315F"/>
    <w:rsid w:val="000C02EB"/>
    <w:rsid w:val="000C3B20"/>
    <w:rsid w:val="000C61B5"/>
    <w:rsid w:val="000C7CA6"/>
    <w:rsid w:val="000D7C88"/>
    <w:rsid w:val="000F3D3C"/>
    <w:rsid w:val="000F57BE"/>
    <w:rsid w:val="001145E1"/>
    <w:rsid w:val="00117F2B"/>
    <w:rsid w:val="00121AC8"/>
    <w:rsid w:val="00130FEB"/>
    <w:rsid w:val="00145457"/>
    <w:rsid w:val="0018102F"/>
    <w:rsid w:val="001879D5"/>
    <w:rsid w:val="00196CF0"/>
    <w:rsid w:val="001A1553"/>
    <w:rsid w:val="001A3B1F"/>
    <w:rsid w:val="001B4D58"/>
    <w:rsid w:val="001C2289"/>
    <w:rsid w:val="001D0F55"/>
    <w:rsid w:val="001F1A09"/>
    <w:rsid w:val="002035DA"/>
    <w:rsid w:val="0021344E"/>
    <w:rsid w:val="00223499"/>
    <w:rsid w:val="00234359"/>
    <w:rsid w:val="00242944"/>
    <w:rsid w:val="00253507"/>
    <w:rsid w:val="00260CA1"/>
    <w:rsid w:val="00262C6C"/>
    <w:rsid w:val="00266679"/>
    <w:rsid w:val="0027302D"/>
    <w:rsid w:val="002752D7"/>
    <w:rsid w:val="00283FF4"/>
    <w:rsid w:val="0029216B"/>
    <w:rsid w:val="00294647"/>
    <w:rsid w:val="002C60CE"/>
    <w:rsid w:val="002D2591"/>
    <w:rsid w:val="002D40F0"/>
    <w:rsid w:val="002D513F"/>
    <w:rsid w:val="002E207F"/>
    <w:rsid w:val="002E248B"/>
    <w:rsid w:val="002F011E"/>
    <w:rsid w:val="0030152A"/>
    <w:rsid w:val="00303882"/>
    <w:rsid w:val="00307115"/>
    <w:rsid w:val="00327869"/>
    <w:rsid w:val="00340774"/>
    <w:rsid w:val="0035373D"/>
    <w:rsid w:val="0035622F"/>
    <w:rsid w:val="00371A70"/>
    <w:rsid w:val="00383001"/>
    <w:rsid w:val="00383576"/>
    <w:rsid w:val="00383F6D"/>
    <w:rsid w:val="00384940"/>
    <w:rsid w:val="00386ACF"/>
    <w:rsid w:val="003927DC"/>
    <w:rsid w:val="003A7860"/>
    <w:rsid w:val="003B3B9C"/>
    <w:rsid w:val="003B3FA5"/>
    <w:rsid w:val="003C3690"/>
    <w:rsid w:val="003C4B3A"/>
    <w:rsid w:val="003D31D0"/>
    <w:rsid w:val="003E0BC0"/>
    <w:rsid w:val="003F5A5C"/>
    <w:rsid w:val="0040631B"/>
    <w:rsid w:val="00412199"/>
    <w:rsid w:val="00415D9E"/>
    <w:rsid w:val="004364CA"/>
    <w:rsid w:val="0044337F"/>
    <w:rsid w:val="004777F8"/>
    <w:rsid w:val="00492BD0"/>
    <w:rsid w:val="004A2B2C"/>
    <w:rsid w:val="004A2E14"/>
    <w:rsid w:val="004A42D0"/>
    <w:rsid w:val="004B184A"/>
    <w:rsid w:val="004C5D61"/>
    <w:rsid w:val="004E290F"/>
    <w:rsid w:val="004F3EF5"/>
    <w:rsid w:val="004F634B"/>
    <w:rsid w:val="005135BE"/>
    <w:rsid w:val="0052396D"/>
    <w:rsid w:val="005272E4"/>
    <w:rsid w:val="00535D91"/>
    <w:rsid w:val="00542E10"/>
    <w:rsid w:val="00547A25"/>
    <w:rsid w:val="005515C5"/>
    <w:rsid w:val="005532BC"/>
    <w:rsid w:val="005555B2"/>
    <w:rsid w:val="005628B4"/>
    <w:rsid w:val="005705A3"/>
    <w:rsid w:val="00575B2D"/>
    <w:rsid w:val="00576051"/>
    <w:rsid w:val="00585FA7"/>
    <w:rsid w:val="00594B67"/>
    <w:rsid w:val="00595FF3"/>
    <w:rsid w:val="005A65E7"/>
    <w:rsid w:val="005F5BB1"/>
    <w:rsid w:val="00610065"/>
    <w:rsid w:val="006362A0"/>
    <w:rsid w:val="00637B60"/>
    <w:rsid w:val="00663BF1"/>
    <w:rsid w:val="006700AE"/>
    <w:rsid w:val="00681308"/>
    <w:rsid w:val="00687F69"/>
    <w:rsid w:val="006A7D26"/>
    <w:rsid w:val="006B22C2"/>
    <w:rsid w:val="006D1984"/>
    <w:rsid w:val="006E06C4"/>
    <w:rsid w:val="007236A1"/>
    <w:rsid w:val="0072495A"/>
    <w:rsid w:val="00751051"/>
    <w:rsid w:val="0075189A"/>
    <w:rsid w:val="00753714"/>
    <w:rsid w:val="00763EA2"/>
    <w:rsid w:val="00780708"/>
    <w:rsid w:val="007A1E9B"/>
    <w:rsid w:val="007C304A"/>
    <w:rsid w:val="007C7CB1"/>
    <w:rsid w:val="007D7B11"/>
    <w:rsid w:val="007F27BE"/>
    <w:rsid w:val="007F3E18"/>
    <w:rsid w:val="0080273A"/>
    <w:rsid w:val="00817F43"/>
    <w:rsid w:val="00824B54"/>
    <w:rsid w:val="008458EB"/>
    <w:rsid w:val="00857DBB"/>
    <w:rsid w:val="00861B55"/>
    <w:rsid w:val="008620B2"/>
    <w:rsid w:val="008654E3"/>
    <w:rsid w:val="00865B37"/>
    <w:rsid w:val="00882950"/>
    <w:rsid w:val="008915FE"/>
    <w:rsid w:val="00896F87"/>
    <w:rsid w:val="008C0210"/>
    <w:rsid w:val="008E5AD4"/>
    <w:rsid w:val="008F1510"/>
    <w:rsid w:val="0091476B"/>
    <w:rsid w:val="00934F9C"/>
    <w:rsid w:val="00936145"/>
    <w:rsid w:val="00942F21"/>
    <w:rsid w:val="00944F42"/>
    <w:rsid w:val="00964E9F"/>
    <w:rsid w:val="00965EED"/>
    <w:rsid w:val="009B53B9"/>
    <w:rsid w:val="009B7049"/>
    <w:rsid w:val="009C1979"/>
    <w:rsid w:val="009C6E03"/>
    <w:rsid w:val="009E3887"/>
    <w:rsid w:val="00A45544"/>
    <w:rsid w:val="00A45CAC"/>
    <w:rsid w:val="00A53BEA"/>
    <w:rsid w:val="00A7075D"/>
    <w:rsid w:val="00A70805"/>
    <w:rsid w:val="00A75E71"/>
    <w:rsid w:val="00A83C5C"/>
    <w:rsid w:val="00A8774B"/>
    <w:rsid w:val="00AB03BA"/>
    <w:rsid w:val="00AB3162"/>
    <w:rsid w:val="00AB38AE"/>
    <w:rsid w:val="00AB7804"/>
    <w:rsid w:val="00AC19AE"/>
    <w:rsid w:val="00AC1D52"/>
    <w:rsid w:val="00AF0564"/>
    <w:rsid w:val="00AF1697"/>
    <w:rsid w:val="00AF6774"/>
    <w:rsid w:val="00B010E2"/>
    <w:rsid w:val="00B057AD"/>
    <w:rsid w:val="00B073E7"/>
    <w:rsid w:val="00B07A1B"/>
    <w:rsid w:val="00B22655"/>
    <w:rsid w:val="00B2514C"/>
    <w:rsid w:val="00B62414"/>
    <w:rsid w:val="00B71478"/>
    <w:rsid w:val="00B85F48"/>
    <w:rsid w:val="00BB3AAD"/>
    <w:rsid w:val="00BB3B6C"/>
    <w:rsid w:val="00BC630C"/>
    <w:rsid w:val="00BD6EE3"/>
    <w:rsid w:val="00C17FF9"/>
    <w:rsid w:val="00C26D15"/>
    <w:rsid w:val="00C37D31"/>
    <w:rsid w:val="00C45D3E"/>
    <w:rsid w:val="00C46148"/>
    <w:rsid w:val="00CB6971"/>
    <w:rsid w:val="00CB7A0D"/>
    <w:rsid w:val="00CC4212"/>
    <w:rsid w:val="00CC745E"/>
    <w:rsid w:val="00CE2C0A"/>
    <w:rsid w:val="00D15696"/>
    <w:rsid w:val="00D21D29"/>
    <w:rsid w:val="00D331A5"/>
    <w:rsid w:val="00D3534B"/>
    <w:rsid w:val="00D35355"/>
    <w:rsid w:val="00D45FD9"/>
    <w:rsid w:val="00D66614"/>
    <w:rsid w:val="00D67DB6"/>
    <w:rsid w:val="00D94B8D"/>
    <w:rsid w:val="00DA23A3"/>
    <w:rsid w:val="00DB0496"/>
    <w:rsid w:val="00DC545B"/>
    <w:rsid w:val="00DD0933"/>
    <w:rsid w:val="00DD6743"/>
    <w:rsid w:val="00DE0602"/>
    <w:rsid w:val="00DF3E8C"/>
    <w:rsid w:val="00E0403F"/>
    <w:rsid w:val="00E16468"/>
    <w:rsid w:val="00E26507"/>
    <w:rsid w:val="00E26E21"/>
    <w:rsid w:val="00E372DA"/>
    <w:rsid w:val="00E517F0"/>
    <w:rsid w:val="00E56C9F"/>
    <w:rsid w:val="00E6109C"/>
    <w:rsid w:val="00E72438"/>
    <w:rsid w:val="00E7725C"/>
    <w:rsid w:val="00E83657"/>
    <w:rsid w:val="00E8733A"/>
    <w:rsid w:val="00E97C60"/>
    <w:rsid w:val="00EB3690"/>
    <w:rsid w:val="00F30985"/>
    <w:rsid w:val="00F318DF"/>
    <w:rsid w:val="00F327D9"/>
    <w:rsid w:val="00F34937"/>
    <w:rsid w:val="00F55AD3"/>
    <w:rsid w:val="00F63CFB"/>
    <w:rsid w:val="00F83229"/>
    <w:rsid w:val="00F9002D"/>
    <w:rsid w:val="00F96A02"/>
    <w:rsid w:val="00FD4E1E"/>
    <w:rsid w:val="00FD78C6"/>
    <w:rsid w:val="00FE1821"/>
    <w:rsid w:val="00F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A23206-7A16-476F-8B46-86171A63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16B"/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2D40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16B"/>
    <w:pPr>
      <w:ind w:left="720"/>
      <w:contextualSpacing/>
    </w:pPr>
  </w:style>
  <w:style w:type="table" w:styleId="TableGrid">
    <w:name w:val="Table Grid"/>
    <w:basedOn w:val="TableNormal"/>
    <w:uiPriority w:val="59"/>
    <w:rsid w:val="00047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D40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8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14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14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3D58-B0F7-4B5A-B0E2-A780CC54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O-G-D-C-L</dc:creator>
  <cp:lastModifiedBy>Prince-Sam</cp:lastModifiedBy>
  <cp:revision>121</cp:revision>
  <cp:lastPrinted>2015-06-09T14:40:00Z</cp:lastPrinted>
  <dcterms:created xsi:type="dcterms:W3CDTF">2018-07-24T08:26:00Z</dcterms:created>
  <dcterms:modified xsi:type="dcterms:W3CDTF">2018-11-23T07:24:00Z</dcterms:modified>
</cp:coreProperties>
</file>